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811"/>
        <w:gridCol w:w="6370"/>
      </w:tblGrid>
      <w:tr w:rsidR="001B2629" w:rsidRPr="00BD7749" w:rsidTr="001B2629">
        <w:trPr>
          <w:trHeight w:val="274"/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 Kazanımları /Hedef ve Davranışlar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732031" w:rsidP="00815BB2">
            <w:pPr>
              <w:spacing w:before="20" w:after="20"/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32031">
              <w:rPr>
                <w:rFonts w:cstheme="minorHAnsi"/>
                <w:color w:val="000000"/>
                <w:sz w:val="18"/>
                <w:szCs w:val="18"/>
              </w:rPr>
              <w:t>5.1.3.3. Böbreklerin sağlığını korumak için nelere dikkat edilmesi gerektiğini araştırır ve sunar.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Ünite Kavramları, </w:t>
            </w: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Sembolleri/Davranış Örüntüsü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34703E" w:rsidP="0034703E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Boşaltım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Böbrek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borusu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kesesi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 kanalı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İdrar</w:t>
            </w:r>
            <w:r>
              <w:rPr>
                <w:rFonts w:cstheme="minorHAnsi"/>
                <w:bCs/>
                <w:color w:val="000000"/>
                <w:sz w:val="18"/>
                <w:szCs w:val="18"/>
              </w:rPr>
              <w:t xml:space="preserve">, </w:t>
            </w:r>
            <w:r w:rsidRPr="0034703E">
              <w:rPr>
                <w:rFonts w:cstheme="minorHAnsi"/>
                <w:bCs/>
                <w:color w:val="000000"/>
                <w:sz w:val="18"/>
                <w:szCs w:val="18"/>
              </w:rPr>
              <w:t>Böbrek sağlığı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Güvenlik Önlemleri (Varsa):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Öğretme-Öğrenme-Yöntem ve Teknikleri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1B2629" w:rsidP="00815BB2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bCs/>
                <w:color w:val="000000"/>
                <w:sz w:val="18"/>
                <w:szCs w:val="18"/>
              </w:rPr>
              <w:t>Soru-Cevap, Buluş, Araştırma, Gösteri,  İnceleme, Deney</w:t>
            </w: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Araç, Gereçler ve Kaynakça</w:t>
            </w:r>
          </w:p>
        </w:tc>
        <w:tc>
          <w:tcPr>
            <w:tcW w:w="6370" w:type="dxa"/>
            <w:shd w:val="clear" w:color="auto" w:fill="auto"/>
          </w:tcPr>
          <w:p w:rsidR="001B2629" w:rsidRPr="006E73F1" w:rsidRDefault="001B2629" w:rsidP="00815BB2">
            <w:pPr>
              <w:spacing w:before="20" w:after="20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6E73F1">
              <w:rPr>
                <w:rFonts w:cstheme="minorHAnsi"/>
                <w:bCs/>
                <w:color w:val="000000"/>
                <w:sz w:val="18"/>
                <w:szCs w:val="18"/>
              </w:rPr>
              <w:t>Ders Kitabı, dergi, internet</w:t>
            </w:r>
            <w:r w:rsidR="00ED1A40">
              <w:rPr>
                <w:rFonts w:cstheme="minorHAnsi"/>
                <w:bCs/>
                <w:color w:val="000000"/>
                <w:sz w:val="18"/>
                <w:szCs w:val="18"/>
              </w:rPr>
              <w:t>, projeksiyon, bilgisayar</w:t>
            </w:r>
            <w:bookmarkStart w:id="0" w:name="_GoBack"/>
            <w:bookmarkEnd w:id="0"/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Açıklamalar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B2629" w:rsidRPr="00BD7749" w:rsidTr="001B2629">
        <w:trPr>
          <w:jc w:val="center"/>
        </w:trPr>
        <w:tc>
          <w:tcPr>
            <w:tcW w:w="4811" w:type="dxa"/>
            <w:shd w:val="clear" w:color="auto" w:fill="auto"/>
          </w:tcPr>
          <w:p w:rsidR="001B2629" w:rsidRPr="001B2629" w:rsidRDefault="001B2629" w:rsidP="001B2629">
            <w:pPr>
              <w:spacing w:before="40" w:after="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62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Etkinlikler</w:t>
            </w:r>
          </w:p>
        </w:tc>
        <w:tc>
          <w:tcPr>
            <w:tcW w:w="6370" w:type="dxa"/>
            <w:shd w:val="clear" w:color="auto" w:fill="auto"/>
          </w:tcPr>
          <w:p w:rsidR="001B2629" w:rsidRPr="00EB59C9" w:rsidRDefault="001B2629" w:rsidP="00815BB2">
            <w:pPr>
              <w:spacing w:before="20" w:after="20"/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F145C8" w:rsidRPr="00BD7749" w:rsidTr="00E23315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F145C8" w:rsidRPr="00020C6E" w:rsidRDefault="00F145C8" w:rsidP="00F145C8">
            <w:pPr>
              <w:spacing w:before="40" w:after="20"/>
              <w:jc w:val="both"/>
              <w:rPr>
                <w:rFonts w:ascii="Cambria" w:hAnsi="Cambria" w:cs="Calibri"/>
                <w:color w:val="000000"/>
                <w:sz w:val="17"/>
                <w:szCs w:val="17"/>
              </w:rPr>
            </w:pPr>
            <w:r w:rsidRPr="00F145C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Özet/işleniş</w:t>
            </w:r>
          </w:p>
        </w:tc>
      </w:tr>
      <w:tr w:rsidR="00F145C8" w:rsidRPr="00BD7749" w:rsidTr="004D3709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626E94" w:rsidRDefault="00EB173E" w:rsidP="00626E9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173E">
              <w:rPr>
                <w:rFonts w:ascii="Arial" w:hAnsi="Arial" w:cs="Arial"/>
                <w:color w:val="000000"/>
                <w:sz w:val="18"/>
                <w:szCs w:val="18"/>
              </w:rPr>
              <w:t>Boşaltımın sağlıklı bir şekilde gerçekleştirilebilmesi için böb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reklerimizin sağlığını korumalı</w:t>
            </w:r>
            <w:r w:rsidRPr="00EB173E">
              <w:rPr>
                <w:rFonts w:ascii="Arial" w:hAnsi="Arial" w:cs="Arial"/>
                <w:color w:val="000000"/>
                <w:sz w:val="18"/>
                <w:szCs w:val="18"/>
              </w:rPr>
              <w:t>yız. Böbreklerimizin sağlığını koruyamazsak çeşitli böbrek rahatsız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lıkları yaşayabiliriz. Bu hasta</w:t>
            </w:r>
            <w:r w:rsidRPr="00EB173E">
              <w:rPr>
                <w:rFonts w:ascii="Arial" w:hAnsi="Arial" w:cs="Arial"/>
                <w:color w:val="000000"/>
                <w:sz w:val="18"/>
                <w:szCs w:val="18"/>
              </w:rPr>
              <w:t>lıklardan dolayı böbreklerimiz görevlerini yerine getiremeyebilir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E87CA3" w:rsidRDefault="00626E94" w:rsidP="00E87CA3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B173E">
              <w:rPr>
                <w:rFonts w:ascii="Arial" w:hAnsi="Arial" w:cs="Arial"/>
                <w:color w:val="000000"/>
                <w:sz w:val="18"/>
                <w:szCs w:val="18"/>
              </w:rPr>
              <w:t>ıkça karşılaşılan böbrek has</w:t>
            </w:r>
            <w:r w:rsidR="00EB173E" w:rsidRPr="00EB173E">
              <w:rPr>
                <w:rFonts w:ascii="Arial" w:hAnsi="Arial" w:cs="Arial"/>
                <w:color w:val="000000"/>
                <w:sz w:val="18"/>
                <w:szCs w:val="18"/>
              </w:rPr>
              <w:t>talıklarından bazıları böbrek yetmezliği ve böbrek taşlarıdır.</w:t>
            </w:r>
          </w:p>
          <w:p w:rsidR="00EB173E" w:rsidRDefault="00EB173E" w:rsidP="00E87CA3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Böbrek Yetmezliği: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Böbreğin kanı atık maddelerden temizleme görevini yerin</w:t>
            </w:r>
            <w:r w:rsidR="00E87CA3">
              <w:rPr>
                <w:rFonts w:ascii="Arial" w:hAnsi="Arial" w:cs="Arial"/>
                <w:color w:val="000000"/>
                <w:sz w:val="18"/>
                <w:szCs w:val="18"/>
              </w:rPr>
              <w:t xml:space="preserve">e getirememesi durumuna böbrek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yetmezliği denir.</w:t>
            </w:r>
            <w:r w:rsidR="00E87CA3">
              <w:rPr>
                <w:rFonts w:ascii="Arial" w:hAnsi="Arial" w:cs="Arial"/>
                <w:color w:val="000000"/>
                <w:sz w:val="18"/>
                <w:szCs w:val="18"/>
              </w:rPr>
              <w:t xml:space="preserve"> Atık maddeler vücutta birikir.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Böbrek yetmezliği olan hastalar</w:t>
            </w:r>
            <w:r w:rsidR="00E87CA3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böbrek görevini yerine getiren diyaliz cih</w:t>
            </w:r>
            <w:r w:rsidR="00E87CA3">
              <w:rPr>
                <w:rFonts w:ascii="Arial" w:hAnsi="Arial" w:cs="Arial"/>
                <w:color w:val="000000"/>
                <w:sz w:val="18"/>
                <w:szCs w:val="18"/>
              </w:rPr>
              <w:t xml:space="preserve">azına haftanın belli günlerinde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bağlanırlar</w:t>
            </w:r>
            <w:r w:rsidR="00E87CA3">
              <w:rPr>
                <w:rFonts w:ascii="Arial" w:hAnsi="Arial" w:cs="Arial"/>
                <w:color w:val="000000"/>
                <w:sz w:val="18"/>
                <w:szCs w:val="18"/>
              </w:rPr>
              <w:t xml:space="preserve">, ancak bu </w:t>
            </w:r>
            <w:r w:rsidR="00E87CA3" w:rsidRPr="00E87CA3">
              <w:rPr>
                <w:rFonts w:ascii="Arial" w:hAnsi="Arial" w:cs="Arial"/>
                <w:color w:val="000000"/>
                <w:sz w:val="18"/>
                <w:szCs w:val="18"/>
              </w:rPr>
              <w:t>hastalar böbrek nakli ile tekrar sağlıklı bir birey olabilirler.</w:t>
            </w:r>
          </w:p>
          <w:p w:rsidR="00572F64" w:rsidRPr="00626E94" w:rsidRDefault="000F19B8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Böbrek Taşı: </w:t>
            </w:r>
            <w:r w:rsidRPr="000F19B8">
              <w:rPr>
                <w:rFonts w:ascii="Arial" w:hAnsi="Arial" w:cs="Arial"/>
                <w:color w:val="000000"/>
                <w:sz w:val="18"/>
                <w:szCs w:val="18"/>
              </w:rPr>
              <w:t>Böbrek taşı, böbrekle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rde bazı minerallerin birikmesi </w:t>
            </w:r>
            <w:r w:rsidRPr="000F19B8">
              <w:rPr>
                <w:rFonts w:ascii="Arial" w:hAnsi="Arial" w:cs="Arial"/>
                <w:color w:val="000000"/>
                <w:sz w:val="18"/>
                <w:szCs w:val="18"/>
              </w:rPr>
              <w:t>sonucunda oluşur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F19B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Ş</w:t>
            </w:r>
            <w:r w:rsidRPr="000F19B8">
              <w:rPr>
                <w:rFonts w:ascii="Arial" w:hAnsi="Arial" w:cs="Arial"/>
                <w:color w:val="000000"/>
                <w:sz w:val="18"/>
                <w:szCs w:val="18"/>
              </w:rPr>
              <w:t>iddetli ağrıya neden olan bu rahat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sızlık </w:t>
            </w:r>
            <w:r w:rsidRPr="000F19B8">
              <w:rPr>
                <w:rFonts w:ascii="Arial" w:hAnsi="Arial" w:cs="Arial"/>
                <w:color w:val="000000"/>
                <w:sz w:val="18"/>
                <w:szCs w:val="18"/>
              </w:rPr>
              <w:t>günümüzde çeşitli yöntemler kullanılarak tedavi edilmektedir.</w:t>
            </w:r>
            <w:r w:rsidR="00572F64">
              <w:rPr>
                <w:rFonts w:ascii="Arial" w:hAnsi="Arial" w:cs="Arial"/>
                <w:color w:val="000000"/>
                <w:sz w:val="18"/>
                <w:szCs w:val="18"/>
              </w:rPr>
              <w:br/>
              <w:t>Böbreklerimizin sağlığı için öneriler:</w:t>
            </w:r>
            <w:r w:rsidR="00572F64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72F64" w:rsidRPr="00626E94">
              <w:rPr>
                <w:rFonts w:ascii="Arial" w:hAnsi="Arial" w:cs="Arial"/>
                <w:color w:val="000000"/>
                <w:sz w:val="18"/>
                <w:szCs w:val="18"/>
              </w:rPr>
              <w:t>• Böbreklerin sağlığı için kişisel temizliğe dikkat</w:t>
            </w:r>
            <w:r w:rsidR="00572F6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72F64" w:rsidRPr="00626E94">
              <w:rPr>
                <w:rFonts w:ascii="Arial" w:hAnsi="Arial" w:cs="Arial"/>
                <w:color w:val="000000"/>
                <w:sz w:val="18"/>
                <w:szCs w:val="18"/>
              </w:rPr>
              <w:t>edilmelidir.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Özellikle ayaklar soğuktan korunmalıdır.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Günde en az iki litre, sıcak günlerde ise terlemeyle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su kaybedildiğinden daha fazla su içilmelidir.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Dengeli beslenmeye, besinlerin ve içilen suyun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temiz olmasına özen gösterilmelidir.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Alkollü içeceklerden, biberli ve fazla kızarmış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yiyeceklerden kaçınılmalıdır.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Böbrek ve idrar yolu rahatsızlıklarında zaman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kaybetmeden doktora başvurulmalıdır.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Tuzlu gıdaları fazla tüketmek kalp ve damar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sağlığını bozar. Bu durum, böbreklerde de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tahribata yol açar. Bu nedenle;</w:t>
            </w:r>
          </w:p>
          <w:p w:rsidR="00572F64" w:rsidRPr="00626E94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Konserve, turşu gibi tuzu fazla içeren besinler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olabildiğince az tüketilmelidir.</w:t>
            </w:r>
          </w:p>
          <w:p w:rsidR="00E87CA3" w:rsidRPr="000F19B8" w:rsidRDefault="00572F64" w:rsidP="00572F6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• Yemeğin tuzuna bakılmadan tuz ilave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26E94">
              <w:rPr>
                <w:rFonts w:ascii="Arial" w:hAnsi="Arial" w:cs="Arial"/>
                <w:color w:val="000000"/>
                <w:sz w:val="18"/>
                <w:szCs w:val="18"/>
              </w:rPr>
              <w:t>edilmemelidir.</w:t>
            </w:r>
          </w:p>
        </w:tc>
      </w:tr>
      <w:tr w:rsidR="0080698E" w:rsidRPr="00BD7749" w:rsidTr="00890832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80698E" w:rsidRPr="009B7CBB" w:rsidRDefault="0080698E" w:rsidP="00815BB2">
            <w:pPr>
              <w:spacing w:before="20" w:after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B7CBB">
              <w:rPr>
                <w:rFonts w:ascii="Arial" w:hAnsi="Arial" w:cs="Arial"/>
                <w:b/>
                <w:color w:val="000000"/>
                <w:sz w:val="18"/>
                <w:szCs w:val="18"/>
              </w:rPr>
              <w:t>Ölçme-Değerlendirme</w:t>
            </w:r>
          </w:p>
          <w:p w:rsidR="0080698E" w:rsidRPr="00EB59C9" w:rsidRDefault="0080698E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Bireysel öğrenme etkinliklerine yönelik Ölçme Değerlendirme</w:t>
            </w:r>
          </w:p>
          <w:p w:rsidR="0080698E" w:rsidRPr="00EB59C9" w:rsidRDefault="0080698E" w:rsidP="00253994">
            <w:pPr>
              <w:spacing w:before="20" w:after="20"/>
              <w:ind w:left="252" w:hanging="25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Grupla öğrenme etkinliklerine yönelik Ölçme Değerlendirme</w:t>
            </w:r>
          </w:p>
          <w:p w:rsidR="0080698E" w:rsidRPr="00BD7749" w:rsidRDefault="0080698E" w:rsidP="00815BB2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59C9">
              <w:rPr>
                <w:rFonts w:ascii="Arial" w:hAnsi="Arial" w:cs="Arial"/>
                <w:color w:val="000000"/>
                <w:sz w:val="18"/>
                <w:szCs w:val="18"/>
              </w:rPr>
              <w:t>•  Öğrenme güçlüğü olan öğrenciler ve ileri düzeyde öğrenme hızında olan öğrenciler için ek Ölçme-Değerlendirme etkinlikleri</w:t>
            </w:r>
          </w:p>
        </w:tc>
      </w:tr>
      <w:tr w:rsidR="0080698E" w:rsidRPr="00694604" w:rsidTr="00350A07">
        <w:trPr>
          <w:jc w:val="center"/>
        </w:trPr>
        <w:tc>
          <w:tcPr>
            <w:tcW w:w="11181" w:type="dxa"/>
            <w:gridSpan w:val="2"/>
            <w:shd w:val="clear" w:color="auto" w:fill="auto"/>
          </w:tcPr>
          <w:p w:rsidR="0080698E" w:rsidRPr="00694604" w:rsidRDefault="00694604" w:rsidP="00D33BA2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604">
              <w:rPr>
                <w:rFonts w:ascii="Arial" w:hAnsi="Arial" w:cs="Arial"/>
                <w:color w:val="000000"/>
                <w:sz w:val="18"/>
                <w:szCs w:val="18"/>
              </w:rPr>
              <w:t xml:space="preserve">Ders kitabından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ünite sonu değerlendirme soruları ve etkinlikler çözülece</w:t>
            </w:r>
            <w:r w:rsidR="005249B4">
              <w:rPr>
                <w:rFonts w:ascii="Arial" w:hAnsi="Arial" w:cs="Arial"/>
                <w:color w:val="000000"/>
                <w:sz w:val="18"/>
                <w:szCs w:val="18"/>
              </w:rPr>
              <w:t>k. Projeksiyondan faydalanılarak</w:t>
            </w:r>
            <w:r w:rsidR="00D33BA2">
              <w:rPr>
                <w:rFonts w:ascii="Arial" w:hAnsi="Arial" w:cs="Arial"/>
                <w:color w:val="000000"/>
                <w:sz w:val="18"/>
                <w:szCs w:val="18"/>
              </w:rPr>
              <w:t xml:space="preserve"> ünite ile ilgili</w:t>
            </w:r>
            <w:r w:rsidR="005249B4">
              <w:rPr>
                <w:rFonts w:ascii="Arial" w:hAnsi="Arial" w:cs="Arial"/>
                <w:color w:val="000000"/>
                <w:sz w:val="18"/>
                <w:szCs w:val="18"/>
              </w:rPr>
              <w:t xml:space="preserve"> çeşitli etkinlikler yapılacak.</w:t>
            </w:r>
          </w:p>
        </w:tc>
      </w:tr>
      <w:tr w:rsidR="00253994" w:rsidRPr="00BD7749" w:rsidTr="00253994">
        <w:trPr>
          <w:jc w:val="center"/>
        </w:trPr>
        <w:tc>
          <w:tcPr>
            <w:tcW w:w="4811" w:type="dxa"/>
            <w:shd w:val="clear" w:color="auto" w:fill="auto"/>
          </w:tcPr>
          <w:p w:rsidR="00253994" w:rsidRPr="003C03BE" w:rsidRDefault="00253994" w:rsidP="00815BB2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03B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Dersin Diğer Derslerle İlişkisi</w:t>
            </w:r>
          </w:p>
        </w:tc>
        <w:tc>
          <w:tcPr>
            <w:tcW w:w="6370" w:type="dxa"/>
            <w:shd w:val="clear" w:color="auto" w:fill="auto"/>
          </w:tcPr>
          <w:p w:rsidR="00253994" w:rsidRPr="00BD7749" w:rsidRDefault="00253994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122F" w:rsidRPr="00BD7749" w:rsidTr="00253994">
        <w:trPr>
          <w:jc w:val="center"/>
        </w:trPr>
        <w:tc>
          <w:tcPr>
            <w:tcW w:w="4811" w:type="dxa"/>
            <w:shd w:val="clear" w:color="auto" w:fill="auto"/>
          </w:tcPr>
          <w:p w:rsidR="00D9122F" w:rsidRPr="003C03BE" w:rsidRDefault="00D9122F" w:rsidP="00815BB2">
            <w:pPr>
              <w:spacing w:before="20" w:after="2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C03BE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Planın Uygulanmasına İlişkin Açıklamalar</w:t>
            </w:r>
          </w:p>
        </w:tc>
        <w:tc>
          <w:tcPr>
            <w:tcW w:w="6370" w:type="dxa"/>
            <w:shd w:val="clear" w:color="auto" w:fill="auto"/>
          </w:tcPr>
          <w:p w:rsidR="00D9122F" w:rsidRPr="00BD7749" w:rsidRDefault="00D9122F" w:rsidP="00815BB2">
            <w:pPr>
              <w:spacing w:before="20" w:after="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61594" w:rsidRPr="0069468A" w:rsidRDefault="00D61594" w:rsidP="00DF60AA"/>
    <w:sectPr w:rsidR="00D61594" w:rsidRPr="0069468A" w:rsidSect="006D4D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49" w:right="566" w:bottom="141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89" w:rsidRDefault="003D4289" w:rsidP="009D7A63">
      <w:pPr>
        <w:spacing w:after="0" w:line="240" w:lineRule="auto"/>
      </w:pPr>
      <w:r>
        <w:separator/>
      </w:r>
    </w:p>
  </w:endnote>
  <w:endnote w:type="continuationSeparator" w:id="0">
    <w:p w:rsidR="003D4289" w:rsidRDefault="003D4289" w:rsidP="009D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799"/>
      <w:docPartObj>
        <w:docPartGallery w:val="Page Numbers (Bottom of Page)"/>
        <w:docPartUnique/>
      </w:docPartObj>
    </w:sdtPr>
    <w:sdtEndPr/>
    <w:sdtContent>
      <w:p w:rsidR="0069468A" w:rsidRDefault="0069468A" w:rsidP="0069468A">
        <w:pPr>
          <w:spacing w:before="20" w:after="20"/>
          <w:ind w:left="708" w:firstLine="708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>Lokman BAŞ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  <w:t>Emin ÖZKAN</w:t>
        </w:r>
      </w:p>
      <w:p w:rsidR="004D4079" w:rsidRPr="0069468A" w:rsidRDefault="0069468A" w:rsidP="0069468A">
        <w:pPr>
          <w:spacing w:before="20" w:after="20"/>
          <w:ind w:left="708" w:firstLine="708"/>
          <w:jc w:val="both"/>
          <w:rPr>
            <w:rFonts w:ascii="Arial" w:hAnsi="Arial" w:cs="Arial"/>
            <w:b/>
            <w:color w:val="000000"/>
            <w:sz w:val="20"/>
          </w:rPr>
        </w:pPr>
        <w:r>
          <w:rPr>
            <w:rFonts w:ascii="Arial" w:hAnsi="Arial" w:cs="Arial"/>
            <w:b/>
            <w:color w:val="000000"/>
            <w:sz w:val="20"/>
          </w:rPr>
          <w:t xml:space="preserve">Fen Bilimleri Öğretmeni </w:t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>
          <w:rPr>
            <w:rFonts w:ascii="Arial" w:hAnsi="Arial" w:cs="Arial"/>
            <w:b/>
            <w:color w:val="000000"/>
            <w:sz w:val="20"/>
          </w:rPr>
          <w:tab/>
        </w:r>
        <w:r w:rsidR="003D4289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7" type="#_x0000_t185" style="position:absolute;left:0;text-align:left;margin-left:0;margin-top:0;width:44.45pt;height:18.8pt;z-index:25166643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7" inset=",0,,0">
                <w:txbxContent>
                  <w:p w:rsidR="004D4079" w:rsidRDefault="00970A3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D1A4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="003D4289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0;margin-top:0;width:434.5pt;height:0;z-index:25166540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>
          <w:rPr>
            <w:rFonts w:ascii="Arial" w:hAnsi="Arial" w:cs="Arial"/>
            <w:b/>
            <w:color w:val="000000"/>
            <w:sz w:val="20"/>
          </w:rPr>
          <w:t>Okul Müdürü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89" w:rsidRDefault="003D4289" w:rsidP="009D7A63">
      <w:pPr>
        <w:spacing w:after="0" w:line="240" w:lineRule="auto"/>
      </w:pPr>
      <w:r>
        <w:separator/>
      </w:r>
    </w:p>
  </w:footnote>
  <w:footnote w:type="continuationSeparator" w:id="0">
    <w:p w:rsidR="003D4289" w:rsidRDefault="003D4289" w:rsidP="009D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3D42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6" o:spid="_x0000_s2061" type="#_x0000_t136" style="position:absolute;margin-left:0;margin-top:0;width:556.05pt;height:83.4pt;rotation:315;z-index:-25164595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A63" w:rsidRDefault="003D4289" w:rsidP="006D4D11">
    <w:pPr>
      <w:pStyle w:val="KonuBal"/>
    </w:pPr>
    <w:r>
      <w:rPr>
        <w:noProof/>
        <w:sz w:val="40"/>
        <w:szCs w:val="40"/>
      </w:rPr>
      <w:pict>
        <v:group id="_x0000_s2052" style="position:absolute;margin-left:291.05pt;margin-top:32.4pt;width:238.5pt;height:40.7pt;z-index:251662336" coordorigin="7740,299" coordsize="3781,107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9095;top:-1056;width:1072;height:3781;rotation:-27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2050" inset="18pt,18pt,,18pt">
              <w:txbxContent>
                <w:p w:rsidR="009D7A63" w:rsidRDefault="009D7A6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7853;top:299;width:3668;height:974" stroked="f">
            <v:textbox style="mso-next-textbox:#_x0000_s2051">
              <w:txbxContent>
                <w:p w:rsidR="001F66AA" w:rsidRDefault="001F66AA">
                  <w:r w:rsidRPr="004D4079">
                    <w:rPr>
                      <w:b/>
                    </w:rPr>
                    <w:t>Konu</w:t>
                  </w:r>
                  <w:r w:rsidRPr="004D4079">
                    <w:rPr>
                      <w:b/>
                    </w:rPr>
                    <w:tab/>
                    <w:t>:</w:t>
                  </w:r>
                  <w:r w:rsidR="00E636A9">
                    <w:rPr>
                      <w:b/>
                    </w:rPr>
                    <w:t xml:space="preserve"> </w:t>
                  </w:r>
                  <w:r w:rsidR="00E636A9">
                    <w:t>Böbreklerimizin sağlığını koruyalım</w:t>
                  </w:r>
                  <w:r w:rsidR="00E636A9">
                    <w:br/>
                  </w:r>
                  <w:r>
                    <w:rPr>
                      <w:b/>
                    </w:rPr>
                    <w:t>Süre</w:t>
                  </w:r>
                  <w:r w:rsidRPr="004D4079">
                    <w:rPr>
                      <w:b/>
                    </w:rPr>
                    <w:tab/>
                    <w:t xml:space="preserve">: </w:t>
                  </w:r>
                  <w:r w:rsidR="006E73F1">
                    <w:t>4 Ders Saati</w:t>
                  </w:r>
                </w:p>
              </w:txbxContent>
            </v:textbox>
          </v:shape>
        </v:group>
      </w:pict>
    </w:r>
    <w:r>
      <w:rPr>
        <w:noProof/>
        <w:sz w:val="40"/>
        <w:szCs w:val="40"/>
      </w:rPr>
      <w:pict>
        <v:group id="_x0000_s2053" style="position:absolute;margin-left:-7.75pt;margin-top:32.4pt;width:297.95pt;height:40.7pt;z-index:251663360" coordorigin="7740,299" coordsize="3781,1072">
          <v:shape id="_x0000_s2054" type="#_x0000_t185" style="position:absolute;left:9095;top:-1056;width:1072;height:3781;rotation:-27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2054" inset="18pt,18pt,,18pt">
              <w:txbxContent>
                <w:p w:rsidR="009D7A63" w:rsidRDefault="009D7A6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</v:shape>
          <v:shape id="_x0000_s2055" type="#_x0000_t202" style="position:absolute;left:7853;top:299;width:3668;height:974" stroked="f">
            <v:textbox style="mso-next-textbox:#_x0000_s2055">
              <w:txbxContent>
                <w:p w:rsidR="009D7A63" w:rsidRDefault="004D4079">
                  <w:r w:rsidRPr="004D4079">
                    <w:rPr>
                      <w:b/>
                    </w:rPr>
                    <w:t>Ders</w:t>
                  </w:r>
                  <w:r w:rsidRPr="004D4079">
                    <w:rPr>
                      <w:b/>
                    </w:rPr>
                    <w:tab/>
                    <w:t xml:space="preserve">: </w:t>
                  </w:r>
                  <w:r>
                    <w:t xml:space="preserve">Fen </w:t>
                  </w:r>
                  <w:r w:rsidR="001C476B">
                    <w:t xml:space="preserve">Bilimleri    </w:t>
                  </w:r>
                  <w:r w:rsidR="001269AE">
                    <w:tab/>
                  </w:r>
                  <w:r w:rsidR="001269AE" w:rsidRPr="001269AE">
                    <w:rPr>
                      <w:b/>
                    </w:rPr>
                    <w:t>Sınıf</w:t>
                  </w:r>
                  <w:r w:rsidR="001269AE" w:rsidRPr="001269AE">
                    <w:rPr>
                      <w:b/>
                    </w:rPr>
                    <w:tab/>
                    <w:t>:</w:t>
                  </w:r>
                  <w:r w:rsidR="001269AE">
                    <w:t xml:space="preserve"> </w:t>
                  </w:r>
                  <w:r w:rsidR="006E73F1">
                    <w:t>5A</w:t>
                  </w:r>
                  <w:r w:rsidR="006E41C5">
                    <w:t xml:space="preserve"> Sınıfı</w:t>
                  </w:r>
                  <w:r>
                    <w:br/>
                  </w:r>
                  <w:r w:rsidR="009D7A63" w:rsidRPr="004D4079">
                    <w:rPr>
                      <w:b/>
                    </w:rPr>
                    <w:t xml:space="preserve">Ünite </w:t>
                  </w:r>
                  <w:r w:rsidR="00B47508">
                    <w:rPr>
                      <w:b/>
                    </w:rPr>
                    <w:t>..</w:t>
                  </w:r>
                  <w:r w:rsidR="009D7A63" w:rsidRPr="004D4079">
                    <w:rPr>
                      <w:b/>
                    </w:rPr>
                    <w:tab/>
                    <w:t xml:space="preserve">: </w:t>
                  </w:r>
                  <w:r w:rsidR="006E73F1">
                    <w:t>Vücudumuz Bilmecesini Çözelim</w:t>
                  </w:r>
                </w:p>
              </w:txbxContent>
            </v:textbox>
          </v:shape>
        </v:group>
      </w:pict>
    </w:r>
    <w:r w:rsidR="00C2451C" w:rsidRPr="006D4D11">
      <w:rPr>
        <w:sz w:val="40"/>
        <w:szCs w:val="40"/>
      </w:rPr>
      <w:t>DERS PLANI</w:t>
    </w:r>
    <w:r w:rsidR="001F66AA" w:rsidRPr="006D4D11">
      <w:rPr>
        <w:sz w:val="40"/>
        <w:szCs w:val="40"/>
      </w:rPr>
      <w:t xml:space="preserve"> – (</w:t>
    </w:r>
    <w:r w:rsidR="00732031">
      <w:rPr>
        <w:sz w:val="40"/>
        <w:szCs w:val="40"/>
      </w:rPr>
      <w:t>18-22</w:t>
    </w:r>
    <w:r w:rsidR="006E73F1">
      <w:rPr>
        <w:sz w:val="40"/>
        <w:szCs w:val="40"/>
      </w:rPr>
      <w:t xml:space="preserve"> Kasım 2013</w:t>
    </w:r>
    <w:r w:rsidR="001F66AA" w:rsidRPr="006D4D11">
      <w:rPr>
        <w:sz w:val="40"/>
        <w:szCs w:val="40"/>
      </w:rPr>
      <w:t>)</w: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7" o:spid="_x0000_s2062" type="#_x0000_t136" style="position:absolute;margin-left:0;margin-top:0;width:556.05pt;height:83.4pt;rotation:315;z-index:-25164390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lokmanbas.n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8E" w:rsidRDefault="003D428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46875" o:spid="_x0000_s2060" type="#_x0000_t136" style="position:absolute;margin-left:0;margin-top:0;width:556.05pt;height:83.4pt;rotation:315;z-index:-251648000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www.dersdoktoru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63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73F1"/>
    <w:rsid w:val="000342D3"/>
    <w:rsid w:val="00041D52"/>
    <w:rsid w:val="000F19B8"/>
    <w:rsid w:val="001250B1"/>
    <w:rsid w:val="001269AE"/>
    <w:rsid w:val="001B2629"/>
    <w:rsid w:val="001C476B"/>
    <w:rsid w:val="001F66AA"/>
    <w:rsid w:val="00212FEA"/>
    <w:rsid w:val="00233343"/>
    <w:rsid w:val="00253994"/>
    <w:rsid w:val="00306FA2"/>
    <w:rsid w:val="0034703E"/>
    <w:rsid w:val="00353DFB"/>
    <w:rsid w:val="003C03BE"/>
    <w:rsid w:val="003D4289"/>
    <w:rsid w:val="004D4079"/>
    <w:rsid w:val="00523090"/>
    <w:rsid w:val="005249B4"/>
    <w:rsid w:val="00525D6E"/>
    <w:rsid w:val="00544271"/>
    <w:rsid w:val="00572F64"/>
    <w:rsid w:val="005E00A6"/>
    <w:rsid w:val="006176F5"/>
    <w:rsid w:val="0062473B"/>
    <w:rsid w:val="00626E94"/>
    <w:rsid w:val="00685355"/>
    <w:rsid w:val="00694604"/>
    <w:rsid w:val="0069468A"/>
    <w:rsid w:val="006D4D11"/>
    <w:rsid w:val="006E41C5"/>
    <w:rsid w:val="006E73F1"/>
    <w:rsid w:val="007127DD"/>
    <w:rsid w:val="00732031"/>
    <w:rsid w:val="00765ADF"/>
    <w:rsid w:val="007C6FFE"/>
    <w:rsid w:val="007F4533"/>
    <w:rsid w:val="0080698E"/>
    <w:rsid w:val="0082168E"/>
    <w:rsid w:val="00970A3E"/>
    <w:rsid w:val="009B7CBB"/>
    <w:rsid w:val="009D7A63"/>
    <w:rsid w:val="00AA3DDC"/>
    <w:rsid w:val="00AE2C5D"/>
    <w:rsid w:val="00B3518D"/>
    <w:rsid w:val="00B47508"/>
    <w:rsid w:val="00C2451C"/>
    <w:rsid w:val="00C75C7E"/>
    <w:rsid w:val="00D33BA2"/>
    <w:rsid w:val="00D61594"/>
    <w:rsid w:val="00D9122F"/>
    <w:rsid w:val="00DF60AA"/>
    <w:rsid w:val="00E636A9"/>
    <w:rsid w:val="00E87CA3"/>
    <w:rsid w:val="00EB173E"/>
    <w:rsid w:val="00EB59C9"/>
    <w:rsid w:val="00ED1A40"/>
    <w:rsid w:val="00ED79BE"/>
    <w:rsid w:val="00EF57AC"/>
    <w:rsid w:val="00EF694B"/>
    <w:rsid w:val="00F1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7A63"/>
  </w:style>
  <w:style w:type="paragraph" w:styleId="Altbilgi">
    <w:name w:val="footer"/>
    <w:basedOn w:val="Normal"/>
    <w:link w:val="AltbilgiChar"/>
    <w:uiPriority w:val="99"/>
    <w:unhideWhenUsed/>
    <w:rsid w:val="009D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A63"/>
  </w:style>
  <w:style w:type="paragraph" w:styleId="BalonMetni">
    <w:name w:val="Balloon Text"/>
    <w:basedOn w:val="Normal"/>
    <w:link w:val="BalonMetniChar"/>
    <w:uiPriority w:val="99"/>
    <w:semiHidden/>
    <w:unhideWhenUsed/>
    <w:rsid w:val="009D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A63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C245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245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6E7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&#220;MANLAR\Dersler\Fen%20Bilimleri\Fen%20ve%20Teknoloji\Evraklar\Gunluk_Planlar\Gunluk_Pla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Gunluk_Plan.dotx</Template>
  <TotalTime>13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LokMer</dc:creator>
  <cp:keywords/>
  <dc:description/>
  <cp:lastModifiedBy>LokMer</cp:lastModifiedBy>
  <cp:revision>18</cp:revision>
  <dcterms:created xsi:type="dcterms:W3CDTF">2013-11-07T21:54:00Z</dcterms:created>
  <dcterms:modified xsi:type="dcterms:W3CDTF">2013-11-07T22:11:00Z</dcterms:modified>
</cp:coreProperties>
</file>